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w:t>
            </w:r>
            <w:r>
              <w:rPr>
                <w:rFonts w:hint="eastAsia"/>
              </w:rPr>
              <w:t>8</w:t>
            </w:r>
            <w:r>
              <w:rPr>
                <w:rFonts w:hint="eastAsia"/>
              </w:rPr>
              <w:t>年度セキュリティソフト利用権購入（長期継続契約）</w:t>
            </w:r>
            <w:bookmarkStart w:id="0" w:name="_GoBack"/>
            <w:bookmarkEnd w:id="0"/>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4</w:t>
            </w:r>
            <w:r>
              <w:rPr>
                <w:rFonts w:hint="eastAsia"/>
                <w:kern w:val="0"/>
              </w:rPr>
              <w:t>月</w:t>
            </w:r>
            <w:r>
              <w:rPr>
                <w:rFonts w:hint="eastAsia"/>
                <w:kern w:val="0"/>
              </w:rPr>
              <w:t>1</w:t>
            </w:r>
            <w:r>
              <w:rPr>
                <w:rFonts w:hint="eastAsia"/>
                <w:kern w:val="0"/>
              </w:rPr>
              <w:t>日（水）</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rPr>
              <w:t>2</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9</Words>
  <Characters>184</Characters>
  <Application>JUST Note</Application>
  <Lines>48</Lines>
  <Paragraphs>30</Paragraphs>
  <CharactersWithSpaces>240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2026-02-24T04:01:53Z</dcterms:modified>
  <cp:revision>9</cp:revision>
</cp:coreProperties>
</file>